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25d0b" w14:textId="d125d0b">
      <w:pPr>
        <w:spacing w:after="150"/>
        <w:ind w:left="0"/>
        <w:jc w:val="left"/>
        <w15:collapsed w:val="false"/>
      </w:pPr>
      <w:r>
        <w:rPr>
          <w:rFonts w:ascii="Verdana"/>
          <w:b w:val="false"/>
          <w:i w:val="false"/>
          <w:color w:val="000000"/>
          <w:sz w:val="22"/>
        </w:rPr>
        <w:t xml:space="preserve">Преузето са </w:t>
      </w:r>
      <w:hyperlink r:id="rId3">
        <w:r>
          <w:rPr>
            <w:rStyle w:val="Hyperlink"/>
            <w:rFonts w:ascii="Verdana"/>
            <w:b w:val="false"/>
            <w:i w:val="false"/>
            <w:color w:val="337ab7"/>
            <w:sz w:val="22"/>
          </w:rPr>
          <w:t>www.pravno-informacioni-sistem.rs</w:t>
        </w:r>
      </w:hyperlink>
    </w:p>
    <w:p>
      <w:pPr>
        <w:spacing w:after="150"/>
        <w:ind w:left="0"/>
        <w:jc w:val="left"/>
      </w:pPr>
    </w:p>
    <w:p>
      <w:pPr>
        <w:spacing w:after="0"/>
        <w:ind w:left="0"/>
        <w:jc w:val="left"/>
      </w:pPr>
      <w:r>
        <w:rPr>
          <w:rFonts w:ascii="Arial"/>
          <w:b/>
          <w:i w:val="false"/>
          <w:color w:val="000000"/>
          <w:sz w:val="22"/>
        </w:rPr>
        <w:t>Редакцијски пречишћен текст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Arial"/>
          <w:b w:val="false"/>
          <w:i w:val="false"/>
          <w:color w:val="000000"/>
          <w:sz w:val="22"/>
        </w:rPr>
        <w:t xml:space="preserve"> 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ЗАКОН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 организацији и надлежности државних органа за борбу против високотехнолошког криминала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„</w:t>
      </w:r>
      <w:r>
        <w:rPr>
          <w:rFonts w:ascii="Verdana"/>
          <w:b w:val="false"/>
          <w:i w:val="false"/>
          <w:color w:val="000000"/>
          <w:sz w:val="22"/>
        </w:rPr>
        <w:t>Сл</w:t>
      </w:r>
      <w:r>
        <w:rPr>
          <w:rFonts w:ascii="Verdana"/>
          <w:b w:val="false"/>
          <w:i w:val="false"/>
          <w:color w:val="000000"/>
          <w:sz w:val="22"/>
        </w:rPr>
        <w:t>ужбени</w:t>
      </w:r>
      <w:r>
        <w:rPr>
          <w:rFonts w:ascii="Verdana"/>
          <w:b w:val="false"/>
          <w:i w:val="false"/>
          <w:color w:val="000000"/>
          <w:sz w:val="22"/>
        </w:rPr>
        <w:t>гласник РС</w:t>
      </w:r>
      <w:r>
        <w:rPr>
          <w:rFonts w:ascii="Verdana"/>
          <w:b w:val="false"/>
          <w:i w:val="false"/>
          <w:color w:val="000000"/>
          <w:sz w:val="22"/>
        </w:rPr>
        <w:t>“</w:t>
      </w:r>
      <w:r>
        <w:rPr>
          <w:rFonts w:ascii="Verdana"/>
          <w:b w:val="false"/>
          <w:i w:val="false"/>
          <w:color w:val="000000"/>
          <w:sz w:val="22"/>
        </w:rPr>
        <w:t>, бр</w:t>
      </w:r>
      <w:r>
        <w:rPr>
          <w:rFonts w:ascii="Verdana"/>
          <w:b w:val="false"/>
          <w:i w:val="false"/>
          <w:color w:val="000000"/>
          <w:sz w:val="22"/>
        </w:rPr>
        <w:t>.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61 од 18.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јула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2005,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104 од 16. децембра 2009.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I. УВОДНЕ ОДРЕДБЕ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Овим законом уређује се образовање, организација, надлежност и овлашћења посебних организационих јединица државних органа ради откривања, кривичног гоњења и суђења за кривична дела одређена овим законом.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Високотехнолошки криминал у смислу овог закона представља вршење кривичних дела код којих се као објекат или средство извршења кривичних дела јављају рачунари</w:t>
      </w:r>
      <w:r>
        <w:rPr>
          <w:rFonts w:ascii="Verdana"/>
          <w:b/>
          <w:i w:val="false"/>
          <w:color w:val="000000"/>
          <w:sz w:val="22"/>
        </w:rPr>
        <w:t>,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рачунарски системи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, рачунарске мреже, рачунарски подаци, као и њихови производи у материјалном или електронском облику.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Под производима у електронском облику посебно се подразумевају рачунарски програми и ауторска дела која се могу употребити у електронском облику.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Изрази:</w:t>
      </w:r>
      <w:r>
        <w:rPr>
          <w:rFonts w:ascii="Verdana"/>
          <w:b/>
          <w:i w:val="false"/>
          <w:color w:val="000000"/>
          <w:sz w:val="22"/>
        </w:rPr>
        <w:t>рачунар</w:t>
      </w:r>
      <w:r>
        <w:rPr>
          <w:rFonts w:ascii="Verdana"/>
          <w:b/>
          <w:i w:val="false"/>
          <w:color w:val="000000"/>
          <w:sz w:val="22"/>
        </w:rPr>
        <w:t>,*</w:t>
      </w:r>
      <w:r>
        <w:rPr>
          <w:rFonts w:ascii="Verdana"/>
          <w:b w:val="false"/>
          <w:i w:val="false"/>
          <w:color w:val="000000"/>
          <w:sz w:val="22"/>
        </w:rPr>
        <w:t>рачунарски податак, рачунарски програм, рачунарски вирус</w:t>
      </w:r>
      <w:r>
        <w:rPr>
          <w:rFonts w:ascii="Verdana"/>
          <w:b/>
          <w:i w:val="false"/>
          <w:color w:val="000000"/>
          <w:sz w:val="22"/>
        </w:rPr>
        <w:t>,</w:t>
      </w:r>
      <w:r>
        <w:rPr>
          <w:rFonts w:ascii="Verdana"/>
          <w:b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рачунарски систем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и рачунарска мрежа користе се у овом закону и имају значење у смислу одредаба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Кривичног законика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</w:t>
      </w:r>
      <w:r>
        <w:rPr>
          <w:rFonts w:ascii="Verdana"/>
          <w:b w:val="false"/>
          <w:i w:val="false"/>
          <w:color w:val="000000"/>
          <w:sz w:val="22"/>
        </w:rPr>
        <w:t>ужбени</w:t>
      </w:r>
      <w:r>
        <w:rPr>
          <w:rFonts w:ascii="Verdana"/>
          <w:b w:val="false"/>
          <w:i w:val="false"/>
          <w:color w:val="000000"/>
          <w:sz w:val="22"/>
        </w:rPr>
        <w:t>гласник РС, број 104/2009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3.</w:t>
      </w:r>
      <w:r>
        <w:rPr>
          <w:rFonts w:ascii="Verdana"/>
          <w:b/>
          <w:i w:val="false"/>
          <w:color w:val="000000"/>
          <w:sz w:val="22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примењује се ради откривања, кривичног гоњења и суђења за:</w:t>
      </w:r>
      <w:r>
        <w:rPr>
          <w:rFonts w:ascii="Verdana"/>
          <w:b/>
          <w:i w:val="false"/>
          <w:color w:val="000000"/>
          <w:sz w:val="22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1) кривична дела против безбедности рачунарских података одређена Кривичним закоником;</w:t>
      </w:r>
      <w:r>
        <w:rPr>
          <w:rFonts w:ascii="Verdana"/>
          <w:b/>
          <w:i w:val="false"/>
          <w:color w:val="000000"/>
          <w:sz w:val="22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2) кривична дела против интелектуалне својине, имовине, привреде и правног саобраћаја, код којих се као објекат или средство извршења кривичних дела јављају рачунари, рачунарски системи, рачунарске мреже и рачунарски подаци, као и њихови производи у материјалном или електронском облику, ако број примерака ауторских дела прелази 2000 или настала материјална штета прелази износ од 1.000.000 динара;</w:t>
      </w:r>
      <w:r>
        <w:rPr>
          <w:rFonts w:ascii="Verdana"/>
          <w:b/>
          <w:i w:val="false"/>
          <w:color w:val="000000"/>
          <w:sz w:val="22"/>
        </w:rPr>
        <w:t>*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3) кривична дела против слобода и права човека и грађанина, полне слободе, јавног реда и мира и уставног уређења и безбедности Републике Србије, која се због начина извршења или употребљених средстава могу сматрати кривичним делима високотехнолошког криминала, у складу са чланом 2. став 1. овог закона.</w:t>
      </w:r>
      <w:r>
        <w:rPr>
          <w:rFonts w:ascii="Verdana"/>
          <w:b/>
          <w:i w:val="false"/>
          <w:color w:val="000000"/>
          <w:sz w:val="22"/>
        </w:rPr>
        <w:t>*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</w:t>
      </w:r>
      <w:r>
        <w:rPr>
          <w:rFonts w:ascii="Verdana"/>
          <w:b w:val="false"/>
          <w:i w:val="false"/>
          <w:color w:val="000000"/>
          <w:sz w:val="22"/>
        </w:rPr>
        <w:t>ужбени</w:t>
      </w:r>
      <w:r>
        <w:rPr>
          <w:rFonts w:ascii="Verdana"/>
          <w:b w:val="false"/>
          <w:i w:val="false"/>
          <w:color w:val="000000"/>
          <w:sz w:val="22"/>
        </w:rPr>
        <w:t>гласник РС, број 104/2009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II. ОРГАНИЗАЦИЈА И НАДЛЕЖНОСТ ДРЖАВНИХ ОРГАНА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1. Посебно тужилаштво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поступање у предметима кривичних дела из члана 3. овог закона надлежно је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Више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јавно тужилаштво у Београду за територију Републике Србије.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Вишем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јавном тужилаштву у Београду образује се посебно одељење за борбу против високотехнолошког криминала (у даљем тексту: Посебно тужилаштво).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Ако овим законом није другачије одређено, на Посебно тужилаштво примењују се одредбе закона којим се уређује јавно тужилаштво.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</w:t>
      </w:r>
      <w:r>
        <w:rPr>
          <w:rFonts w:ascii="Verdana"/>
          <w:b w:val="false"/>
          <w:i w:val="false"/>
          <w:color w:val="000000"/>
          <w:sz w:val="22"/>
        </w:rPr>
        <w:t>ужбени</w:t>
      </w:r>
      <w:r>
        <w:rPr>
          <w:rFonts w:ascii="Verdana"/>
          <w:b w:val="false"/>
          <w:i w:val="false"/>
          <w:color w:val="000000"/>
          <w:sz w:val="22"/>
        </w:rPr>
        <w:t>гласник РС, број 104/2009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Радом Посебног тужилаштва руководи посебни тужилац за високотехнолошки криминал (у даљем тексту: Посебни тужилац).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 xml:space="preserve">Посебног тужиоца поставља Републички јавни тужилац из реда 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заменика јавних тужилаца који испуњавају услове за избор за заменика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вишег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 xml:space="preserve">јавног тужиоца, уз писмену сагласност лица које се поставља. Предност имају 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заменици јавних тужилаца који поседују посебна знања из области информатичких технологија.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Посебни тужилац поставља се на четири године и може бити поново постављен.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Републички јавни тужилац пре постављења Посебног тужиоца доноси решење о упућивању тог лица у Посебно тужилаштво.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Посебног тужиоца Републички јавни тужилац може разрешити и пре истека времена на које је постављен.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 престанку функције Посебни тужилац враћа се на функцију коју је вршио пре постављења.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</w:t>
      </w:r>
      <w:r>
        <w:rPr>
          <w:rFonts w:ascii="Verdana"/>
          <w:b w:val="false"/>
          <w:i w:val="false"/>
          <w:color w:val="000000"/>
          <w:sz w:val="22"/>
        </w:rPr>
        <w:t>ужбени</w:t>
      </w:r>
      <w:r>
        <w:rPr>
          <w:rFonts w:ascii="Verdana"/>
          <w:b w:val="false"/>
          <w:i w:val="false"/>
          <w:color w:val="000000"/>
          <w:sz w:val="22"/>
        </w:rPr>
        <w:t>гласник РС, број 104/2009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6.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Посебни тужилац има права и дужности као јавни тужилац.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Кад дође до сазнања да се у једном кривичном предмету ради о случајевима предвиђеним у члану 3. овог закона, Посебни тужилац се у писменој форми обраћа Републичком јавном тужиоцу, захтевајући од њега да му повери или пренесе надлежност.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Члан 7.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Брисан је (види члан 5. Закона – 104/2009-6</w:t>
      </w:r>
      <w:r>
        <w:rPr>
          <w:rFonts w:ascii="Verdana"/>
          <w:b w:val="false"/>
          <w:i w:val="false"/>
          <w:color w:val="000000"/>
          <w:sz w:val="22"/>
        </w:rPr>
        <w:t>)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8.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Републички јавни тужилац може, на предлог Посебног тужиоца, да упути у Посебно тужилаштво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>заменика јавног тужиоца, уз писмену сагласност упућеног лица.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Упућивање из става 1. овог члана траје најдуже две године, а може бити продужено одлуком Републичког јавног тужиоца, на предлог Посебног тужиоца, уз писмену сагласност упућеног лица.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</w:t>
      </w:r>
      <w:r>
        <w:rPr>
          <w:rFonts w:ascii="Verdana"/>
          <w:b w:val="false"/>
          <w:i w:val="false"/>
          <w:color w:val="000000"/>
          <w:sz w:val="22"/>
        </w:rPr>
        <w:t>ужбени</w:t>
      </w:r>
      <w:r>
        <w:rPr>
          <w:rFonts w:ascii="Verdana"/>
          <w:b w:val="false"/>
          <w:i w:val="false"/>
          <w:color w:val="000000"/>
          <w:sz w:val="22"/>
        </w:rPr>
        <w:t>гласник РС, број 104/2009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2. Служба за борбу против високотехничког криминала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9.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Ради обављања послова органа унутрашњих послова у вези са кривичним делима из члана 3. овог закона, образује се у оквиру министарства надлежног за унутрашње послове служба за борбу против високотехнолошког криминала (у даљем тексту: Служба).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Служба поступа по захтевима Посебног тужиоца, у складу са законом.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 надлежан за унутрашње послове, по прибављеном мишљењу Посебног тужиоца, поставља и разрешава старешину Службе и ближе уређује њен рад, у складу са законом.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3. Надлежност и организација судова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поступање у предметима кривичних дела из члана 3. овог закона надлежан је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Виши*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суд у Београду, за територију Републике Србије.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За одлучивање у другом степену надлежан је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Апелациони суд у Београду*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</w:t>
      </w:r>
      <w:r>
        <w:rPr>
          <w:rFonts w:ascii="Verdana"/>
          <w:b w:val="false"/>
          <w:i w:val="false"/>
          <w:color w:val="000000"/>
          <w:sz w:val="22"/>
        </w:rPr>
        <w:t>ужбени</w:t>
      </w:r>
      <w:r>
        <w:rPr>
          <w:rFonts w:ascii="Verdana"/>
          <w:b w:val="false"/>
          <w:i w:val="false"/>
          <w:color w:val="000000"/>
          <w:sz w:val="22"/>
        </w:rPr>
        <w:t>гласник РС, број 104/2009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У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Вишем*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суду у Београду за поступање у предметима кривичних дела из члана 3. овог закона образује се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Одељење</w:t>
      </w:r>
      <w:r>
        <w:rPr>
          <w:rFonts w:ascii="Verdana"/>
          <w:b/>
          <w:i w:val="false"/>
          <w:color w:val="000000"/>
          <w:sz w:val="22"/>
        </w:rPr>
        <w:t>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за борбу против високотехнолошког криминала (у даљем тексту: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Одељење*</w:t>
      </w:r>
      <w:r>
        <w:rPr>
          <w:rFonts w:ascii="Verdana"/>
          <w:b w:val="false"/>
          <w:i w:val="false"/>
          <w:color w:val="000000"/>
          <w:sz w:val="22"/>
        </w:rPr>
        <w:t>).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Судије у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Одељење*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распоређује председник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Вишег*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суда у Београду из реда судија тог суда, уз њихову сагласност. Предност имају судије које поседују посебна знања из области информатичких технологија.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Председник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Вишег*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суда у Београду може распоредити у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Одељење*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и судије других судова упућених на рад у тај суд, уз њихову сагласност.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Распоређивање из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става 2.*</w:t>
      </w:r>
      <w:r>
        <w:rPr>
          <w:rFonts w:ascii="Verdana"/>
          <w:b w:val="false"/>
          <w:i w:val="false"/>
          <w:color w:val="000000"/>
          <w:sz w:val="22"/>
        </w:rPr>
        <w:t>овог члана траје најдуже две године, а може бити продужено одлуком председника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Вишег*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суда у Београду, уз писмену сагласност распоређеног лица.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</w:t>
      </w:r>
      <w:r>
        <w:rPr>
          <w:rFonts w:ascii="Verdana"/>
          <w:b w:val="false"/>
          <w:i w:val="false"/>
          <w:color w:val="000000"/>
          <w:sz w:val="22"/>
        </w:rPr>
        <w:t>ужбени</w:t>
      </w:r>
      <w:r>
        <w:rPr>
          <w:rFonts w:ascii="Verdana"/>
          <w:b w:val="false"/>
          <w:i w:val="false"/>
          <w:color w:val="000000"/>
          <w:sz w:val="22"/>
        </w:rPr>
        <w:t>гласник РС, број 104/2009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III. СРЕДСТВА ЗА РАД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12.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Министарство надлежно за послове правосуђа обезбеђује одговарајуће просторије и све друге техничке услове потребне за ефикасан рад Посебног тужилаштва и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Одељења*</w:t>
      </w:r>
      <w:r>
        <w:rPr>
          <w:rFonts w:ascii="Verdana"/>
          <w:b w:val="false"/>
          <w:i w:val="false"/>
          <w:color w:val="000000"/>
          <w:sz w:val="22"/>
        </w:rPr>
        <w:t>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</w:t>
      </w:r>
      <w:r>
        <w:rPr>
          <w:rFonts w:ascii="Verdana"/>
          <w:b w:val="false"/>
          <w:i w:val="false"/>
          <w:color w:val="000000"/>
          <w:sz w:val="22"/>
        </w:rPr>
        <w:t>ужбени</w:t>
      </w:r>
      <w:r>
        <w:rPr>
          <w:rFonts w:ascii="Verdana"/>
          <w:b w:val="false"/>
          <w:i w:val="false"/>
          <w:color w:val="000000"/>
          <w:sz w:val="22"/>
        </w:rPr>
        <w:t>гласник РС, број 104/2009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13.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Средства за рад Посебног тужилаштва, Службе и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/>
          <w:i w:val="false"/>
          <w:color w:val="000000"/>
          <w:sz w:val="22"/>
        </w:rPr>
        <w:t>Одељења*</w:t>
      </w:r>
      <w:r>
        <w:rPr>
          <w:rFonts w:ascii="Verdana"/>
          <w:b w:val="false"/>
          <w:i w:val="false"/>
          <w:color w:val="000000"/>
          <w:sz w:val="22"/>
        </w:rPr>
        <w:t xml:space="preserve"> </w:t>
      </w:r>
      <w:r>
        <w:rPr>
          <w:rFonts w:ascii="Verdana"/>
          <w:b w:val="false"/>
          <w:i w:val="false"/>
          <w:color w:val="000000"/>
          <w:sz w:val="22"/>
        </w:rPr>
        <w:t>обезбеђују се у буџету Републике Србије.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*Сл</w:t>
      </w:r>
      <w:r>
        <w:rPr>
          <w:rFonts w:ascii="Verdana"/>
          <w:b w:val="false"/>
          <w:i w:val="false"/>
          <w:color w:val="000000"/>
          <w:sz w:val="22"/>
        </w:rPr>
        <w:t>ужбени</w:t>
      </w:r>
      <w:r>
        <w:rPr>
          <w:rFonts w:ascii="Verdana"/>
          <w:b w:val="false"/>
          <w:i w:val="false"/>
          <w:color w:val="000000"/>
          <w:sz w:val="22"/>
        </w:rPr>
        <w:t>гласник РС, број 104/2009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IV. ПРЕЛАЗНА И ЗАВРШНА ОДРЕДБА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14.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Кривични поступци за кривична дела из члана 3. овог закона у којима је оптужница ступила на правну снагу до дана ступања на снагу овог закона окончаће се пред судовима који су били стварно и месно надлежни пре ступања на снагу овог закона.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 w:val="false"/>
          <w:color w:val="000000"/>
          <w:sz w:val="22"/>
        </w:rPr>
        <w:t>Члан 15.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ОДРЕДБЕ КОЈЕ НИСУ УНЕТЕ У „ПРЕЧИШЋЕН ТЕКСТ“ ЗАКОНА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 w:val="false"/>
          <w:i/>
          <w:color w:val="000000"/>
          <w:sz w:val="22"/>
        </w:rPr>
        <w:t>Закон о изменама и допунама Закона о организацији и надлежности државних органа за борбу против високотехнолошког криминала</w:t>
      </w:r>
      <w:r>
        <w:rPr>
          <w:rFonts w:ascii="Verdana"/>
          <w:b w:val="false"/>
          <w:i/>
          <w:color w:val="000000"/>
          <w:sz w:val="22"/>
        </w:rPr>
        <w:t>:</w:t>
      </w:r>
      <w:r>
        <w:rPr>
          <w:rFonts w:ascii="Verdana"/>
          <w:b w:val="false"/>
          <w:i/>
          <w:color w:val="000000"/>
          <w:sz w:val="22"/>
        </w:rPr>
        <w:t xml:space="preserve"> </w:t>
      </w:r>
      <w:r>
        <w:rPr>
          <w:rFonts w:ascii="Verdana"/>
          <w:b w:val="false"/>
          <w:i/>
          <w:color w:val="000000"/>
          <w:sz w:val="22"/>
        </w:rPr>
        <w:t>„</w:t>
      </w:r>
      <w:r>
        <w:rPr>
          <w:rFonts w:ascii="Verdana"/>
          <w:b w:val="false"/>
          <w:i/>
          <w:color w:val="000000"/>
          <w:sz w:val="22"/>
        </w:rPr>
        <w:t>Сл</w:t>
      </w:r>
      <w:r>
        <w:rPr>
          <w:rFonts w:ascii="Verdana"/>
          <w:b w:val="false"/>
          <w:i/>
          <w:color w:val="000000"/>
          <w:sz w:val="22"/>
        </w:rPr>
        <w:t>ужбени</w:t>
      </w:r>
      <w:r>
        <w:rPr>
          <w:rFonts w:ascii="Verdana"/>
          <w:b w:val="false"/>
          <w:i/>
          <w:color w:val="000000"/>
          <w:sz w:val="22"/>
        </w:rPr>
        <w:t>гласник РС</w:t>
      </w:r>
      <w:r>
        <w:rPr>
          <w:rFonts w:ascii="Verdana"/>
          <w:b w:val="false"/>
          <w:i/>
          <w:color w:val="000000"/>
          <w:sz w:val="22"/>
        </w:rPr>
        <w:t>“</w:t>
      </w:r>
      <w:r>
        <w:rPr>
          <w:rFonts w:ascii="Verdana"/>
          <w:b w:val="false"/>
          <w:i/>
          <w:color w:val="000000"/>
          <w:sz w:val="22"/>
        </w:rPr>
        <w:t>, број</w:t>
      </w:r>
      <w:r>
        <w:rPr>
          <w:rFonts w:ascii="Verdana"/>
          <w:b w:val="false"/>
          <w:i/>
          <w:color w:val="000000"/>
          <w:sz w:val="22"/>
        </w:rPr>
        <w:t xml:space="preserve"> </w:t>
      </w:r>
      <w:r>
        <w:rPr>
          <w:rFonts w:ascii="Verdana"/>
          <w:b w:val="false"/>
          <w:i/>
          <w:color w:val="000000"/>
          <w:sz w:val="22"/>
        </w:rPr>
        <w:t>104/2009-6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10.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Кривични поступци за кривична дела из члана 2. овог закона, у којима је донето решење о спровођењу истраге, односно у којима је оптужница ступила на правну снагу до дана ступања на снагу овог закона, окончаће се пред судовима који су били стварно и месно надлежни пре ступања на снагу овог закона.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 </w:t>
      </w:r>
    </w:p>
    <w:p>
      <w:pPr>
        <w:spacing w:after="150"/>
        <w:ind w:left="0"/>
        <w:jc w:val="center"/>
      </w:pPr>
      <w:r>
        <w:rPr>
          <w:rFonts w:ascii="Verdana"/>
          <w:b/>
          <w:i w:val="false"/>
          <w:color w:val="000000"/>
          <w:sz w:val="22"/>
        </w:rPr>
        <w:t>Члан 11.</w:t>
      </w:r>
    </w:p>
    <w:p>
      <w:pPr>
        <w:spacing w:after="150"/>
        <w:ind w:left="0"/>
        <w:jc w:val="left"/>
      </w:pPr>
      <w:r>
        <w:rPr>
          <w:rFonts w:ascii="Verdana"/>
          <w:b/>
          <w:i w:val="false"/>
          <w:color w:val="000000"/>
          <w:sz w:val="22"/>
        </w:rPr>
        <w:t>Овај закон ступа на снагу осмог дана од дана објављивања у „Службеном гласнику Републике Србије”, изузев одредаба чл. 3. до 9. овог закона које ступају на снагу 1. јануара 2010. године.</w:t>
      </w:r>
    </w:p>
    <w:p>
      <w:pPr>
        <w:spacing w:after="150"/>
        <w:ind w:left="0"/>
        <w:jc w:val="left"/>
      </w:pPr>
      <w:r>
        <w:rPr>
          <w:rFonts w:ascii="Verdana"/>
          <w:b w:val="false"/>
          <w:i w:val="false"/>
          <w:color w:val="000000"/>
          <w:sz w:val="22"/>
        </w:rPr>
        <w:t> </w:t>
      </w:r>
    </w:p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Mode="External" Target="http://www.pravno-informacioni-sistem.rs/" Type="http://schemas.openxmlformats.org/officeDocument/2006/relationships/hyperlink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