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5d0b" w14:textId="d125d0b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</w:p>
    <w:p>
      <w:pPr>
        <w:spacing w:after="0"/>
        <w:ind w:left="0"/>
        <w:jc w:val="left"/>
      </w:pPr>
      <w:r>
        <w:rPr>
          <w:rFonts w:ascii="Arial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Arial"/>
          <w:b w:val="false"/>
          <w:i w:val="false"/>
          <w:color w:val="000000"/>
          <w:sz w:val="22"/>
        </w:rPr>
        <w:t xml:space="preserve"> 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ЗАКОН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организацији и надлежности државних органа за борбу против високотехнолошког криминала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„</w:t>
      </w:r>
      <w:r>
        <w:rPr>
          <w:rFonts w:ascii="Verdana"/>
          <w:b w:val="false"/>
          <w:i w:val="false"/>
          <w:color w:val="000000"/>
          <w:sz w:val="22"/>
        </w:rPr>
        <w:t>Сл</w:t>
      </w:r>
      <w:r>
        <w:rPr>
          <w:rFonts w:ascii="Verdana"/>
          <w:b w:val="false"/>
          <w:i w:val="false"/>
          <w:color w:val="000000"/>
          <w:sz w:val="22"/>
        </w:rPr>
        <w:t>ужбени</w:t>
      </w:r>
      <w:r>
        <w:rPr>
          <w:rFonts w:ascii="Verdana"/>
          <w:b w:val="false"/>
          <w:i w:val="false"/>
          <w:color w:val="000000"/>
          <w:sz w:val="22"/>
        </w:rPr>
        <w:t>гласник РС</w:t>
      </w:r>
      <w:r>
        <w:rPr>
          <w:rFonts w:ascii="Verdana"/>
          <w:b w:val="false"/>
          <w:i w:val="false"/>
          <w:color w:val="000000"/>
          <w:sz w:val="22"/>
        </w:rPr>
        <w:t>“</w:t>
      </w:r>
      <w:r>
        <w:rPr>
          <w:rFonts w:ascii="Verdana"/>
          <w:b w:val="false"/>
          <w:i w:val="false"/>
          <w:color w:val="000000"/>
          <w:sz w:val="22"/>
        </w:rPr>
        <w:t>, бр</w:t>
      </w:r>
      <w:r>
        <w:rPr>
          <w:rFonts w:ascii="Verdana"/>
          <w:b w:val="false"/>
          <w:i w:val="false"/>
          <w:color w:val="000000"/>
          <w:sz w:val="22"/>
        </w:rPr>
        <w:t>.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61 од 18.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јула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2005,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104 од 16. децембра 2009.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I. УВОДНЕ ОДРЕДБЕ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законом уређује се образовање, организација, надлежност и овлашћења посебних организационих јединица државних органа ради откривања, кривичног гоњења и суђења за кривична дела одређена овим законом.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Високотехнолошки криминал у смислу овог закона представља вршење кривичних дела код којих се као објекат или средство извршења кривичних дела јављају рачунари</w:t>
      </w:r>
      <w:r>
        <w:rPr>
          <w:rFonts w:ascii="Verdana"/>
          <w:b/>
          <w:i w:val="false"/>
          <w:color w:val="000000"/>
          <w:sz w:val="22"/>
        </w:rPr>
        <w:t>,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рачунарски системи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рачунарске мреже, рачунарски подаци, као и њихови производи у материјалном или електронском облику.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 производима у електронском облику посебно се подразумевају рачунарски програми и ауторска дела која се могу употребити у електронском облику.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Изрази:</w:t>
      </w:r>
      <w:r>
        <w:rPr>
          <w:rFonts w:ascii="Verdana"/>
          <w:b/>
          <w:i w:val="false"/>
          <w:color w:val="000000"/>
          <w:sz w:val="22"/>
        </w:rPr>
        <w:t>рачунар</w:t>
      </w:r>
      <w:r>
        <w:rPr>
          <w:rFonts w:ascii="Verdana"/>
          <w:b/>
          <w:i w:val="false"/>
          <w:color w:val="000000"/>
          <w:sz w:val="22"/>
        </w:rPr>
        <w:t>,*</w:t>
      </w:r>
      <w:r>
        <w:rPr>
          <w:rFonts w:ascii="Verdana"/>
          <w:b w:val="false"/>
          <w:i w:val="false"/>
          <w:color w:val="000000"/>
          <w:sz w:val="22"/>
        </w:rPr>
        <w:t>рачунарски податак, рачунарски програм, рачунарски вирус</w:t>
      </w:r>
      <w:r>
        <w:rPr>
          <w:rFonts w:ascii="Verdana"/>
          <w:b/>
          <w:i w:val="false"/>
          <w:color w:val="000000"/>
          <w:sz w:val="22"/>
        </w:rPr>
        <w:t>,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рачунарски систем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и рачунарска мрежа користе се у овом закону и имају значење у смислу одредаба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Кривичног законика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</w:t>
      </w:r>
      <w:r>
        <w:rPr>
          <w:rFonts w:ascii="Verdana"/>
          <w:b w:val="false"/>
          <w:i w:val="false"/>
          <w:color w:val="000000"/>
          <w:sz w:val="22"/>
        </w:rPr>
        <w:t>ужбени</w:t>
      </w:r>
      <w:r>
        <w:rPr>
          <w:rFonts w:ascii="Verdana"/>
          <w:b w:val="false"/>
          <w:i w:val="false"/>
          <w:color w:val="000000"/>
          <w:sz w:val="22"/>
        </w:rPr>
        <w:t>гласник РС, број 104/2009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3.</w:t>
      </w:r>
      <w:r>
        <w:rPr>
          <w:rFonts w:ascii="Verdana"/>
          <w:b/>
          <w:i w:val="false"/>
          <w:color w:val="000000"/>
          <w:sz w:val="22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примењује се ради откривања, кривичног гоњења и суђења за:</w:t>
      </w:r>
      <w:r>
        <w:rPr>
          <w:rFonts w:ascii="Verdana"/>
          <w:b/>
          <w:i w:val="false"/>
          <w:color w:val="000000"/>
          <w:sz w:val="22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кривична дела против безбедности рачунарских података одређена Кривичним закоником;</w:t>
      </w:r>
      <w:r>
        <w:rPr>
          <w:rFonts w:ascii="Verdana"/>
          <w:b/>
          <w:i w:val="false"/>
          <w:color w:val="000000"/>
          <w:sz w:val="22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кривична дела против интелектуалне својине, имовине, привреде и правног саобраћаја, код којих се као објекат или средство извршења кривичних дела јављају рачунари, рачунарски системи, рачунарске мреже и рачунарски подаци, као и њихови производи у материјалном или електронском облику, ако број примерака ауторских дела прелази 2000 или настала материјална штета прелази износ од 1.000.000 динара;</w:t>
      </w:r>
      <w:r>
        <w:rPr>
          <w:rFonts w:ascii="Verdana"/>
          <w:b/>
          <w:i w:val="false"/>
          <w:color w:val="000000"/>
          <w:sz w:val="22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кривична дела против слобода и права човека и грађанина, полне слободе, јавног реда и мира и уставног уређења и безбедности Републике Србије, која се због начина извршења или употребљених средстава могу сматрати кривичним делима високотехнолошког криминала, у складу са чланом 2. став 1. овог закона.</w:t>
      </w:r>
      <w:r>
        <w:rPr>
          <w:rFonts w:ascii="Verdana"/>
          <w:b/>
          <w:i w:val="false"/>
          <w:color w:val="000000"/>
          <w:sz w:val="22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</w:t>
      </w:r>
      <w:r>
        <w:rPr>
          <w:rFonts w:ascii="Verdana"/>
          <w:b w:val="false"/>
          <w:i w:val="false"/>
          <w:color w:val="000000"/>
          <w:sz w:val="22"/>
        </w:rPr>
        <w:t>ужбени</w:t>
      </w:r>
      <w:r>
        <w:rPr>
          <w:rFonts w:ascii="Verdana"/>
          <w:b w:val="false"/>
          <w:i w:val="false"/>
          <w:color w:val="000000"/>
          <w:sz w:val="22"/>
        </w:rPr>
        <w:t>гласник РС, број 104/2009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II. ОРГАНИЗАЦИЈА И НАДЛЕЖНОСТ ДРЖАВНИХ ОРГАНА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1. Посебно тужилаштво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поступање у предметима кривичних дела из члана 3. овог закона надлежно је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Више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јавно тужилаштво у Београду за територију Републике Србије.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Вишем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јавном тужилаштву у Београду образује се посебно одељење за борбу против високотехнолошког криминала (у даљем тексту: Посебно тужилаштво).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овим законом није другачије одређено, на Посебно тужилаштво примењују се одредбе закона којим се уређује јавно тужилаштво.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</w:t>
      </w:r>
      <w:r>
        <w:rPr>
          <w:rFonts w:ascii="Verdana"/>
          <w:b w:val="false"/>
          <w:i w:val="false"/>
          <w:color w:val="000000"/>
          <w:sz w:val="22"/>
        </w:rPr>
        <w:t>ужбени</w:t>
      </w:r>
      <w:r>
        <w:rPr>
          <w:rFonts w:ascii="Verdana"/>
          <w:b w:val="false"/>
          <w:i w:val="false"/>
          <w:color w:val="000000"/>
          <w:sz w:val="22"/>
        </w:rPr>
        <w:t>гласник РС, број 104/2009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Радом Посебног тужилаштва руководи посебни тужилац за високотехнолошки криминал (у даљем тексту: Посебни тужилац).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Посебног тужиоца поставља Републички јавни тужилац из реда 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заменика јавних тужилаца који испуњавају услове за избор за заменика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вишег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 xml:space="preserve">јавног тужиоца, уз писмену сагласност лица које се поставља. Предност имају 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заменици јавних тужилаца који поседују посебна знања из области информатичких технологија.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Посебни тужилац поставља се на четири године и може бити поново постављен.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Републички јавни тужилац пре постављења Посебног тужиоца доноси решење о упућивању тог лица у Посебно тужилаштво.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Посебног тужиоца Републички јавни тужилац може разрешити и пре истека времена на које је постављен.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 престанку функције Посебни тужилац враћа се на функцију коју је вршио пре постављења.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</w:t>
      </w:r>
      <w:r>
        <w:rPr>
          <w:rFonts w:ascii="Verdana"/>
          <w:b w:val="false"/>
          <w:i w:val="false"/>
          <w:color w:val="000000"/>
          <w:sz w:val="22"/>
        </w:rPr>
        <w:t>ужбени</w:t>
      </w:r>
      <w:r>
        <w:rPr>
          <w:rFonts w:ascii="Verdana"/>
          <w:b w:val="false"/>
          <w:i w:val="false"/>
          <w:color w:val="000000"/>
          <w:sz w:val="22"/>
        </w:rPr>
        <w:t>гласник РС, број 104/2009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Посебни тужилац има права и дужности као јавни тужилац.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Кад дође до сазнања да се у једном кривичном предмету ради о случајевима предвиђеним у члану 3. овог закона, Посебни тужилац се у писменој форми обраћа Републичком јавном тужиоцу, захтевајући од њега да му повери или пренесе надлежност.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7.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5. Закона – 104/2009-6</w:t>
      </w:r>
      <w:r>
        <w:rPr>
          <w:rFonts w:ascii="Verdana"/>
          <w:b w:val="false"/>
          <w:i w:val="false"/>
          <w:color w:val="000000"/>
          <w:sz w:val="22"/>
        </w:rPr>
        <w:t>)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Републички јавни тужилац може, на предлог Посебног тужиоца, да упути у Посебно тужилаштво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заменика јавног тужиоца, уз писмену сагласност упућеног лица.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Упућивање из става 1. овог члана траје најдуже две године, а може бити продужено одлуком Републичког јавног тужиоца, на предлог Посебног тужиоца, уз писмену сагласност упућеног лица.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</w:t>
      </w:r>
      <w:r>
        <w:rPr>
          <w:rFonts w:ascii="Verdana"/>
          <w:b w:val="false"/>
          <w:i w:val="false"/>
          <w:color w:val="000000"/>
          <w:sz w:val="22"/>
        </w:rPr>
        <w:t>ужбени</w:t>
      </w:r>
      <w:r>
        <w:rPr>
          <w:rFonts w:ascii="Verdana"/>
          <w:b w:val="false"/>
          <w:i w:val="false"/>
          <w:color w:val="000000"/>
          <w:sz w:val="22"/>
        </w:rPr>
        <w:t>гласник РС, број 104/2009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2. Служба за борбу против високотехничког криминала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Ради обављања послова органа унутрашњих послова у вези са кривичним делима из члана 3. овог закона, образује се у оквиру министарства надлежног за унутрашње послове служба за борбу против високотехнолошког криминала (у даљем тексту: Служба).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Служба поступа по захтевима Посебног тужиоца,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надлежан за унутрашње послове, по прибављеном мишљењу Посебног тужиоца, поставља и разрешава старешину Службе и ближе уређује њен рад, у складу са законом.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3. Надлежност и организација судова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поступање у предметима кривичних дела из члана 3. овог закона надлежан је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Виши*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суд у Београду, за територију Републике Србије.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одлучивање у другом степену надлежан је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Апелациони суд у Београду*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</w:t>
      </w:r>
      <w:r>
        <w:rPr>
          <w:rFonts w:ascii="Verdana"/>
          <w:b w:val="false"/>
          <w:i w:val="false"/>
          <w:color w:val="000000"/>
          <w:sz w:val="22"/>
        </w:rPr>
        <w:t>ужбени</w:t>
      </w:r>
      <w:r>
        <w:rPr>
          <w:rFonts w:ascii="Verdana"/>
          <w:b w:val="false"/>
          <w:i w:val="false"/>
          <w:color w:val="000000"/>
          <w:sz w:val="22"/>
        </w:rPr>
        <w:t>гласник РС, број 104/2009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Вишем*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суду у Београду за поступање у предметима кривичних дела из члана 3. овог закона образује се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Одељење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за борбу против високотехнолошког криминала (у даљем тексту: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Одељење*</w:t>
      </w:r>
      <w:r>
        <w:rPr>
          <w:rFonts w:ascii="Verdana"/>
          <w:b w:val="false"/>
          <w:i w:val="false"/>
          <w:color w:val="000000"/>
          <w:sz w:val="22"/>
        </w:rPr>
        <w:t>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Судије у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Одељење*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распоређује председник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Вишег*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суда у Београду из реда судија тог суда, уз њихову сагласност. Предност имају судије које поседују посебна знања из области информатичких технологија.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Председник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Вишег*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суда у Београду може распоредити у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Одељење*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и судије других судова упућених на рад у тај суд, уз њихову сагласност.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Распоређивање из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става 2.*</w:t>
      </w:r>
      <w:r>
        <w:rPr>
          <w:rFonts w:ascii="Verdana"/>
          <w:b w:val="false"/>
          <w:i w:val="false"/>
          <w:color w:val="000000"/>
          <w:sz w:val="22"/>
        </w:rPr>
        <w:t>овог члана траје најдуже две године, а може бити продужено одлуком председника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Вишег*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суда у Београду, уз писмену сагласност распоређеног лица.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</w:t>
      </w:r>
      <w:r>
        <w:rPr>
          <w:rFonts w:ascii="Verdana"/>
          <w:b w:val="false"/>
          <w:i w:val="false"/>
          <w:color w:val="000000"/>
          <w:sz w:val="22"/>
        </w:rPr>
        <w:t>ужбени</w:t>
      </w:r>
      <w:r>
        <w:rPr>
          <w:rFonts w:ascii="Verdana"/>
          <w:b w:val="false"/>
          <w:i w:val="false"/>
          <w:color w:val="000000"/>
          <w:sz w:val="22"/>
        </w:rPr>
        <w:t>гласник РС, број 104/2009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III. СРЕДСТВА ЗА РАД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Министарство надлежно за послове правосуђа обезбеђује одговарајуће просторије и све друге техничке услове потребне за ефикасан рад Посебног тужилаштва и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Одељења*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</w:t>
      </w:r>
      <w:r>
        <w:rPr>
          <w:rFonts w:ascii="Verdana"/>
          <w:b w:val="false"/>
          <w:i w:val="false"/>
          <w:color w:val="000000"/>
          <w:sz w:val="22"/>
        </w:rPr>
        <w:t>ужбени</w:t>
      </w:r>
      <w:r>
        <w:rPr>
          <w:rFonts w:ascii="Verdana"/>
          <w:b w:val="false"/>
          <w:i w:val="false"/>
          <w:color w:val="000000"/>
          <w:sz w:val="22"/>
        </w:rPr>
        <w:t>гласник РС, број 104/2009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рад Посебног тужилаштва, Службе и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Одељења*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обезбеђују се у буџету Републике Србије.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</w:t>
      </w:r>
      <w:r>
        <w:rPr>
          <w:rFonts w:ascii="Verdana"/>
          <w:b w:val="false"/>
          <w:i w:val="false"/>
          <w:color w:val="000000"/>
          <w:sz w:val="22"/>
        </w:rPr>
        <w:t>ужбени</w:t>
      </w:r>
      <w:r>
        <w:rPr>
          <w:rFonts w:ascii="Verdana"/>
          <w:b w:val="false"/>
          <w:i w:val="false"/>
          <w:color w:val="000000"/>
          <w:sz w:val="22"/>
        </w:rPr>
        <w:t>гласник РС, број 104/2009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IV. ПРЕЛАЗНА И ЗАВРШНА ОДРЕДБА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Кривични поступци за кривична дела из члана 3. овог закона у којима је оптужница ступила на правну снагу до дана ступања на снагу овог закона окончаће се пред судовима који су били стварно и месно надлежни пре ступања на снагу овог закона.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ОДРЕДБЕ КОЈЕ НИСУ УНЕТЕ У „ПРЕЧИШЋЕН ТЕКСТ“ ЗАКОНА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организацији и надлежности државних органа за борбу против високотехнолошког криминала</w:t>
      </w:r>
      <w:r>
        <w:rPr>
          <w:rFonts w:ascii="Verdana"/>
          <w:b w:val="false"/>
          <w:i/>
          <w:color w:val="000000"/>
          <w:sz w:val="22"/>
        </w:rPr>
        <w:t>:</w:t>
      </w:r>
      <w:r>
        <w:rPr>
          <w:rFonts w:ascii="Verdana"/>
          <w:b w:val="false"/>
          <w:i/>
          <w:color w:val="000000"/>
          <w:sz w:val="22"/>
        </w:rPr>
        <w:t xml:space="preserve"> </w:t>
      </w:r>
      <w:r>
        <w:rPr>
          <w:rFonts w:ascii="Verdana"/>
          <w:b w:val="false"/>
          <w:i/>
          <w:color w:val="000000"/>
          <w:sz w:val="22"/>
        </w:rPr>
        <w:t>„</w:t>
      </w:r>
      <w:r>
        <w:rPr>
          <w:rFonts w:ascii="Verdana"/>
          <w:b w:val="false"/>
          <w:i/>
          <w:color w:val="000000"/>
          <w:sz w:val="22"/>
        </w:rPr>
        <w:t>Сл</w:t>
      </w:r>
      <w:r>
        <w:rPr>
          <w:rFonts w:ascii="Verdana"/>
          <w:b w:val="false"/>
          <w:i/>
          <w:color w:val="000000"/>
          <w:sz w:val="22"/>
        </w:rPr>
        <w:t>ужбени</w:t>
      </w:r>
      <w:r>
        <w:rPr>
          <w:rFonts w:ascii="Verdana"/>
          <w:b w:val="false"/>
          <w:i/>
          <w:color w:val="000000"/>
          <w:sz w:val="22"/>
        </w:rPr>
        <w:t>гласник РС</w:t>
      </w:r>
      <w:r>
        <w:rPr>
          <w:rFonts w:ascii="Verdana"/>
          <w:b w:val="false"/>
          <w:i/>
          <w:color w:val="000000"/>
          <w:sz w:val="22"/>
        </w:rPr>
        <w:t>“</w:t>
      </w:r>
      <w:r>
        <w:rPr>
          <w:rFonts w:ascii="Verdana"/>
          <w:b w:val="false"/>
          <w:i/>
          <w:color w:val="000000"/>
          <w:sz w:val="22"/>
        </w:rPr>
        <w:t>, број</w:t>
      </w:r>
      <w:r>
        <w:rPr>
          <w:rFonts w:ascii="Verdana"/>
          <w:b w:val="false"/>
          <w:i/>
          <w:color w:val="000000"/>
          <w:sz w:val="22"/>
        </w:rPr>
        <w:t xml:space="preserve"> </w:t>
      </w:r>
      <w:r>
        <w:rPr>
          <w:rFonts w:ascii="Verdana"/>
          <w:b w:val="false"/>
          <w:i/>
          <w:color w:val="000000"/>
          <w:sz w:val="22"/>
        </w:rPr>
        <w:t>104/2009-6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Кривични поступци за кривична дела из члана 2. овог закона, у којима је донето решење о спровођењу истраге, односно у којима је оптужница ступила на правну снагу до дана ступања на снагу овог закона, окончаће се пред судовима који су били стварно и месно надлежни пре ступања на снагу овог закона.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Србије”, изузев одредаба чл. 3. до 9. овог закона које ступају на снагу 1. јануара 2010. године.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