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ac2c" w14:textId="4adac2c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11. став 2. Закона о Безбедносно-информативној агенцији („Службени гласник РС”, број 42/02),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 доноси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корисницима екстерних информација Безбедносно-информативне агенције и врстама едиција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РС”, бр</w:t>
      </w:r>
      <w:r>
        <w:rPr>
          <w:rFonts w:ascii="Verdana"/>
          <w:b w:val="false"/>
          <w:i w:val="false"/>
          <w:color w:val="000000"/>
          <w:sz w:val="22"/>
        </w:rPr>
        <w:t>. 83 од 23. јула 2004, 52 од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8. јуна 2007.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складу са смерницама Владе Републике Србије и безбедносно-обавештајном политиком Републике Србије, Безбедносно-информативна агенција (у даљем тексту: Агенција) дужна је да информише надлежне државне органе о подацима и сазнањима од значаја за заштиту Уставом утврђеног поретка, безбедносне, политичке, економске и друге интересе Републике Србије.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зависности од врсте, значаја и садржине података о којима се информише, као и извора и начина на који су подаци прикупљени, утврђују се два нивоа корисника којима Агенција доставља екстерне информације.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Корисници првог нивоа су председник Републике Србије, председник Народне скупштине Републике Србије, председник и потпредседник Владе Републике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Корисници другог нивоа су министри 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начелник Генералштаба Војске Србије и директор полиције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ако су конкретни подаци од значаја за сагледавање одређене безбедносне проблематике и заузимање ставова у вршењу послова из њихове надлежности.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52/2007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Агенција информише кориснике достављањем одговарајућих екстерних едиција које садрже сажете податке и сазнања о безбедносним проблемима, појавама или догађајима или о конкретном догађају, појави или проблему.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Екстерно информисање врши се дневно, периодично и ванредно.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Врсте екстерних едиција су Дневна информација и Посебна информација.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евидентирања, заштите и достављања екстерних едиција у надлежности су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Корисници екстерних едиција дужни су да штите тајност података и да едиције, одмах по упознавању, врате Агенцији.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110-5390/2004-1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22. јула 2004.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Војислав Коштуница,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